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228" w:rsidRDefault="00904D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2018-2019 EĞİTİM-ÖĞRETİM YILI</w:t>
      </w:r>
    </w:p>
    <w:p w:rsidR="009D2228" w:rsidRDefault="00904D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ADNAN MENDERES ANADOLU LİSESİ</w:t>
      </w:r>
    </w:p>
    <w:p w:rsidR="009D2228" w:rsidRDefault="00904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SENE SONU ALMANCA DERSİ ZÜMRE ÖĞRETMENLER KURULU</w:t>
      </w:r>
    </w:p>
    <w:p w:rsidR="009D2228" w:rsidRDefault="009D22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9D2228" w:rsidRDefault="00904D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Toplantı Tarihi :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19.06.2019 </w:t>
      </w:r>
    </w:p>
    <w:p w:rsidR="009D2228" w:rsidRDefault="00904D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Toplantı Saati :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10.30</w:t>
      </w:r>
    </w:p>
    <w:p w:rsidR="009D2228" w:rsidRDefault="00904D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Toplantı Yeri 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Öğretmenler Odası</w:t>
      </w:r>
    </w:p>
    <w:p w:rsidR="009D2228" w:rsidRDefault="00904D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Toplantıya Katılanlar: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Elif KAYA, İsmail ÇİLLİ (M</w:t>
      </w:r>
      <w:r>
        <w:rPr>
          <w:rFonts w:ascii="Times New Roman" w:eastAsia="Times New Roman" w:hAnsi="Times New Roman" w:cs="Times New Roman"/>
          <w:color w:val="000000"/>
          <w:sz w:val="24"/>
        </w:rPr>
        <w:t>üdür Yardımcısı)</w:t>
      </w:r>
    </w:p>
    <w:p w:rsidR="009D2228" w:rsidRDefault="009D2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9D2228" w:rsidRDefault="00904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GÜNDEM MADDELERİ</w:t>
      </w:r>
    </w:p>
    <w:p w:rsidR="009D2228" w:rsidRDefault="009D2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9D2228" w:rsidRDefault="00904D3F">
      <w:pPr>
        <w:spacing w:after="22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 Açılış ve yoklama, </w:t>
      </w:r>
    </w:p>
    <w:p w:rsidR="009D2228" w:rsidRDefault="00904D3F">
      <w:pPr>
        <w:spacing w:after="22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Bir önceki Zümre öğretmenler Kurulu kararlarının uygulama sonuçlarının değerlendirilmesi</w:t>
      </w:r>
    </w:p>
    <w:p w:rsidR="009D2228" w:rsidRDefault="00904D3F">
      <w:pPr>
        <w:spacing w:after="22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3. Eğitim öğretimle ilgili mevzuat, Türk milli eğitiminin genel amaçları, okulun kuruluş amacı ve ilgili </w:t>
      </w:r>
      <w:r>
        <w:rPr>
          <w:rFonts w:ascii="Times New Roman" w:eastAsia="Times New Roman" w:hAnsi="Times New Roman" w:cs="Times New Roman"/>
          <w:color w:val="000000"/>
          <w:sz w:val="24"/>
        </w:rPr>
        <w:t>dersin programında belirtilen amaç ve açıklamaların değerlendirilmesi</w:t>
      </w:r>
    </w:p>
    <w:p w:rsidR="009D2228" w:rsidRDefault="00904D3F">
      <w:pPr>
        <w:spacing w:after="22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4. Öğretim programlarında yer alması gereken Atatürkçülükle ilgili konuların değerlendirilmesi</w:t>
      </w:r>
    </w:p>
    <w:p w:rsidR="009D2228" w:rsidRDefault="00904D3F">
      <w:pPr>
        <w:spacing w:after="22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5. Öğretim programında belirtilen kazanım ve davranışlar dikkate alınarak derslerin işleniş</w:t>
      </w:r>
      <w:r>
        <w:rPr>
          <w:rFonts w:ascii="Times New Roman" w:eastAsia="Times New Roman" w:hAnsi="Times New Roman" w:cs="Times New Roman"/>
          <w:color w:val="000000"/>
          <w:sz w:val="24"/>
        </w:rPr>
        <w:t>inde uygulanacak öğretim yöntem ve teknikleriyle bunların uygulama şeklinin değerlendirilmesi</w:t>
      </w:r>
    </w:p>
    <w:p w:rsidR="009D2228" w:rsidRDefault="00904D3F">
      <w:pPr>
        <w:spacing w:after="22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6. Özel eğitim ihtiyacı olan öğrenciler için bireyselleştirilmiş öğretim programları (BEP) ile ders planlarının değerlendirilmesi</w:t>
      </w:r>
    </w:p>
    <w:p w:rsidR="009D2228" w:rsidRDefault="00904D3F">
      <w:pPr>
        <w:spacing w:after="22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7. Diğer zümre veya bölüm öğretm</w:t>
      </w:r>
      <w:r>
        <w:rPr>
          <w:rFonts w:ascii="Times New Roman" w:eastAsia="Times New Roman" w:hAnsi="Times New Roman" w:cs="Times New Roman"/>
          <w:color w:val="000000"/>
          <w:sz w:val="24"/>
        </w:rPr>
        <w:t>enleriyle yapılan işbirliğinin değerlendirilmesi</w:t>
      </w:r>
    </w:p>
    <w:p w:rsidR="009D2228" w:rsidRDefault="00904D3F">
      <w:pPr>
        <w:spacing w:after="22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8. Öğretim alanı ile bilim ve teknolojideki gelişmelerin izlenmesi ve uygulamalara yansıtılması durumunun değerlendirilmesi</w:t>
      </w:r>
    </w:p>
    <w:p w:rsidR="009D2228" w:rsidRDefault="00904D3F">
      <w:pPr>
        <w:spacing w:after="22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9. Okul ve çevre imkânları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ile yapılan; deney, proje, gezi ve gözlemlerin değerlend</w:t>
      </w:r>
      <w:r>
        <w:rPr>
          <w:rFonts w:ascii="Times New Roman" w:eastAsia="Times New Roman" w:hAnsi="Times New Roman" w:cs="Times New Roman"/>
          <w:color w:val="000000"/>
          <w:sz w:val="24"/>
        </w:rPr>
        <w:t>irilmesi</w:t>
      </w:r>
    </w:p>
    <w:p w:rsidR="009D2228" w:rsidRDefault="00904D3F">
      <w:pPr>
        <w:spacing w:after="22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10. Ünite veya konu ağırlıklarına göre zamanlamanın,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ünitelendirilmiş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yıllık planlar ve ders planlarının değerlendirilmesi</w:t>
      </w:r>
    </w:p>
    <w:p w:rsidR="009D2228" w:rsidRDefault="00904D3F">
      <w:pPr>
        <w:spacing w:after="22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11. Öğrenme güçlüğü çeken öğrenciler ve konulara yönelik çalışmaların değerlendirilmesi </w:t>
      </w:r>
    </w:p>
    <w:p w:rsidR="009D2228" w:rsidRDefault="00904D3F">
      <w:pPr>
        <w:spacing w:after="22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12. Derslerin daha verimli işlenebi</w:t>
      </w:r>
      <w:r>
        <w:rPr>
          <w:rFonts w:ascii="Times New Roman" w:eastAsia="Times New Roman" w:hAnsi="Times New Roman" w:cs="Times New Roman"/>
          <w:color w:val="000000"/>
          <w:sz w:val="24"/>
        </w:rPr>
        <w:t>lmesi için ihtiyaç duyulan kitap, araç-gereç ve benzeri öğretim materyallerinin gözden geçirilmesi ve değerlendirilmesi</w:t>
      </w:r>
    </w:p>
    <w:p w:rsidR="009D2228" w:rsidRDefault="00904D3F">
      <w:pPr>
        <w:spacing w:after="22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13. Ortak sınavların, öğrenci başarısının ölçülmesi ve değerlendirilmesi amacıyla kullanılan sınav analizlerinin değerlendirilmesi</w:t>
      </w:r>
    </w:p>
    <w:p w:rsidR="009D2228" w:rsidRDefault="00904D3F">
      <w:pPr>
        <w:spacing w:after="22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14. Ö</w:t>
      </w:r>
      <w:r>
        <w:rPr>
          <w:rFonts w:ascii="Times New Roman" w:eastAsia="Times New Roman" w:hAnsi="Times New Roman" w:cs="Times New Roman"/>
          <w:color w:val="000000"/>
          <w:sz w:val="24"/>
        </w:rPr>
        <w:t>ğrencilerin ulusal ve uluslararası düzeyde katıldıkları çeşitli sınav ve yarışmalarda aldıkları sonuçların değerlendirilmesi</w:t>
      </w:r>
    </w:p>
    <w:p w:rsidR="009D2228" w:rsidRDefault="00904D3F">
      <w:pPr>
        <w:spacing w:after="22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15. Öğrencilere verilen proje ve performans konularının öğretim programlarıyla okul ve çevre şartlarına göre değerlendirilmesi</w:t>
      </w:r>
    </w:p>
    <w:p w:rsidR="009D2228" w:rsidRDefault="00904D3F">
      <w:pPr>
        <w:spacing w:after="22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16. 2023 Eğitim Vizyon Belgesinin incelenmesi. </w:t>
      </w:r>
    </w:p>
    <w:p w:rsidR="009D2228" w:rsidRDefault="00904D3F">
      <w:pPr>
        <w:spacing w:after="22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17. BENGİ, Her Sınıf Kütüphane, Ayın Değeri ve Değer Defteri projelerinin değerlendirilmesi. </w:t>
      </w:r>
    </w:p>
    <w:p w:rsidR="009D2228" w:rsidRDefault="00904D3F">
      <w:pPr>
        <w:spacing w:after="22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18. DYK kurslarının değerlendirilmesi. </w:t>
      </w:r>
    </w:p>
    <w:p w:rsidR="009D2228" w:rsidRDefault="00904D3F">
      <w:pPr>
        <w:spacing w:after="22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19. İş sağlığı ve güvenliği tedbirlerinin değerlendirilmesi</w:t>
      </w:r>
    </w:p>
    <w:p w:rsidR="009D2228" w:rsidRDefault="00904D3F">
      <w:pPr>
        <w:spacing w:after="22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20. Dilek ve T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emenniler. </w:t>
      </w:r>
    </w:p>
    <w:p w:rsidR="009D2228" w:rsidRDefault="00904D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21. Kapanış. </w:t>
      </w:r>
    </w:p>
    <w:p w:rsidR="009D2228" w:rsidRDefault="009D2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904D3F" w:rsidRDefault="00904D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D2228" w:rsidRDefault="00904D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GÜNDEM MADDELERİNİN GÖRÜŞÜLMESİ: </w:t>
      </w:r>
    </w:p>
    <w:p w:rsidR="009D2228" w:rsidRDefault="009D22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D2228" w:rsidRDefault="00904D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4"/>
        </w:rPr>
        <w:t>Zümre başkanı Elif KAYA tarafından yeni dönemin hayırlı olması dileği ile toplantı başlatıldı. Toplantıda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bütün öğretmenlerin hazır bulunduğu görüldü.</w:t>
      </w:r>
    </w:p>
    <w:p w:rsidR="009D2228" w:rsidRDefault="009D2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9D2228" w:rsidRDefault="00904D3F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2)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Daha önce yap</w:t>
      </w:r>
      <w:r>
        <w:rPr>
          <w:rFonts w:ascii="Times New Roman" w:eastAsia="Times New Roman" w:hAnsi="Times New Roman" w:cs="Times New Roman"/>
          <w:sz w:val="24"/>
        </w:rPr>
        <w:t xml:space="preserve">ılan toplantı kararları okunarak uygulama sonuçları değerlendirildi. Yıllık planlar belirtilen esaslara göre yapılmıştır. İlçe zümresinde alınan kararlara uyulmuştur. </w:t>
      </w:r>
    </w:p>
    <w:p w:rsidR="009D2228" w:rsidRDefault="00904D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sz w:val="24"/>
        </w:rPr>
        <w:t>2023 Eğitim Vizyon Belgesi incelenmiştir ve okul ve program türlerine göre yabancı di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l beceri ve ihtiyaçlarının yapılandırılması ve ders sürelerine ilişkin esnekleştirilmiş düzenlemeler yapılacak olması uygun görülmüştür. Ders içeriklerinin bu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vizyon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hedefleri doğrultusunda zenginleştirilmesi uygun görülmüştür. Dil becerisinde önemli olan </w:t>
      </w:r>
      <w:r>
        <w:rPr>
          <w:rFonts w:ascii="Times New Roman" w:eastAsia="Times New Roman" w:hAnsi="Times New Roman" w:cs="Times New Roman"/>
          <w:color w:val="000000"/>
          <w:sz w:val="24"/>
        </w:rPr>
        <w:t>konuşma, yazma, okuma ve dinleme etkinliklerine yoğun olarak yer verilmiştir.</w:t>
      </w:r>
    </w:p>
    <w:p w:rsidR="009D2228" w:rsidRDefault="009D2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9D2228" w:rsidRDefault="00904D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z w:val="24"/>
        </w:rPr>
        <w:t>Öğretim programlarında yer alan Atatürkçülükle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ilgili konuların ( 2104 ve 2488 sayılı T.D.) derslerde titizlikle işlenmesine ve ders defterine yazılmasına devam edileceği be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lirtildi. Belirli gün ve haftalarda Atatürkçülük ile ilgili konulara değinilmiştir. </w:t>
      </w:r>
    </w:p>
    <w:p w:rsidR="009D2228" w:rsidRDefault="009D2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9D2228" w:rsidRDefault="00904D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5) </w:t>
      </w:r>
      <w:r>
        <w:rPr>
          <w:rFonts w:ascii="Times New Roman" w:eastAsia="Times New Roman" w:hAnsi="Times New Roman" w:cs="Times New Roman"/>
          <w:color w:val="000000"/>
          <w:sz w:val="24"/>
        </w:rPr>
        <w:t>Almanca dersi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öğretim programında belirtilen kazanım ve davranışlar dikkate alınarak derslerin işlenişinde uygulanacak öğretim yöntem, teknikleri ve bunların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uygulanm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a şekli gözden geçirildi. Ders anlatımında öğrencinin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motivasyonunu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sağlamak amacıyla ilgi çekici yöntem ve tekniklerin (beyin fırtınası,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dramatizasyon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tartışma vb.) kullanılmasına devam edileceği belirtildi. Daha fazla öğrenci merkezli bir yaklaşımla der</w:t>
      </w:r>
      <w:r>
        <w:rPr>
          <w:rFonts w:ascii="Times New Roman" w:eastAsia="Times New Roman" w:hAnsi="Times New Roman" w:cs="Times New Roman"/>
          <w:color w:val="000000"/>
          <w:sz w:val="24"/>
        </w:rPr>
        <w:t>slerin işlenmesi gerektiği, öğrencilerin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daha aktif derslere katılımının sağlanması gerektiği vurgulandı. Soru-cevap tekniği, basitten karmaşığa, yakından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uzağa ve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hayatilik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gibi yöntemlerin kullanılmasına devam edilmesi gerektiği konusu da belirtildi. </w:t>
      </w:r>
    </w:p>
    <w:p w:rsidR="009D2228" w:rsidRDefault="009D2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9D2228" w:rsidRDefault="00904D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6)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Öğrenme güçlüğü çeken öğrencilerle ilgili rehberlik servisi ile işbirliği yapılarak BEP planları oluşturuldu. Bu planlar doğrultusunda, öğrencilere bireysel eğitim desteği sağlandı. Ortak sınavlarda bu öğrencilere düzeylerine uygun sorular hazırlandı. </w:t>
      </w:r>
    </w:p>
    <w:p w:rsidR="009D2228" w:rsidRDefault="009D2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9D2228" w:rsidRDefault="00904D3F">
      <w:pPr>
        <w:ind w:right="62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</w:rPr>
        <w:t>7)</w:t>
      </w:r>
      <w:r>
        <w:rPr>
          <w:rFonts w:ascii="Calibri" w:eastAsia="Calibri" w:hAnsi="Calibri" w:cs="Calibri"/>
          <w:b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Diğer zümre ve </w:t>
      </w:r>
      <w:proofErr w:type="gramStart"/>
      <w:r>
        <w:rPr>
          <w:rFonts w:ascii="Times New Roman" w:eastAsia="Times New Roman" w:hAnsi="Times New Roman" w:cs="Times New Roman"/>
        </w:rPr>
        <w:t>branş</w:t>
      </w:r>
      <w:proofErr w:type="gramEnd"/>
      <w:r>
        <w:rPr>
          <w:rFonts w:ascii="Times New Roman" w:eastAsia="Times New Roman" w:hAnsi="Times New Roman" w:cs="Times New Roman"/>
        </w:rPr>
        <w:t xml:space="preserve"> öğretmenleri ile mutlaka işbirliği yapılmasına, dersin genel olarak değerlendirilmesi ve öğrencilerin derse daha aktif olarak katılmalarının sağlanmasına ilişkin daha önceden alınan kararlara uyulduğu görülmüştür. Zümre Başkanı </w:t>
      </w:r>
      <w:r>
        <w:rPr>
          <w:rFonts w:ascii="Times New Roman" w:eastAsia="Times New Roman" w:hAnsi="Times New Roman" w:cs="Times New Roman"/>
        </w:rPr>
        <w:t>Elif KAYA ‘’</w:t>
      </w:r>
      <w:r>
        <w:rPr>
          <w:rFonts w:ascii="Times New Roman" w:eastAsia="Times New Roman" w:hAnsi="Times New Roman" w:cs="Times New Roman"/>
          <w:sz w:val="24"/>
        </w:rPr>
        <w:t xml:space="preserve">Özellikle okulumuzdaki Almanca </w:t>
      </w:r>
      <w:proofErr w:type="spellStart"/>
      <w:r>
        <w:rPr>
          <w:rFonts w:ascii="Times New Roman" w:eastAsia="Times New Roman" w:hAnsi="Times New Roman" w:cs="Times New Roman"/>
          <w:sz w:val="24"/>
        </w:rPr>
        <w:t>Erasmus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Projesi göç konusu dâhilinde</w:t>
      </w:r>
      <w:r>
        <w:rPr>
          <w:rFonts w:ascii="Times New Roman" w:eastAsia="Times New Roman" w:hAnsi="Times New Roman" w:cs="Times New Roman"/>
          <w:sz w:val="24"/>
        </w:rPr>
        <w:t xml:space="preserve"> müfredatlar arası geçişe özellikle önem verildiği için Biyoloji, Edebiyat, Beden Eğitimi, Görsel Sanatlar, Rehberlik</w:t>
      </w:r>
      <w:r>
        <w:rPr>
          <w:rFonts w:ascii="Times New Roman" w:eastAsia="Times New Roman" w:hAnsi="Times New Roman" w:cs="Times New Roman"/>
          <w:sz w:val="24"/>
        </w:rPr>
        <w:t>, Tarih, İngilizce, Bilişim ve Din Kültürü dersleri ile ortak</w:t>
      </w:r>
      <w:r>
        <w:rPr>
          <w:rFonts w:ascii="Times New Roman" w:eastAsia="Times New Roman" w:hAnsi="Times New Roman" w:cs="Times New Roman"/>
          <w:sz w:val="24"/>
        </w:rPr>
        <w:t xml:space="preserve"> çalışmalar yürütülmüştür.’’  dedi.</w:t>
      </w:r>
    </w:p>
    <w:p w:rsidR="009D2228" w:rsidRDefault="00904D3F">
      <w:pPr>
        <w:spacing w:after="22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8)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. Öğretim alanı ile bilim ve teknolojideki gelişmelerin izlenmesi konusunda derslerde akıllı tahta kullanımına özellikle önem verilmiştir.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Eba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platformu üzerinde Almanca dersi ile ilgili dosyalar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ın incelenmesine dikkat edilmiştir. Aynı zamanda derslerde öğrencilerin öğrendikleri konuları pekiştirici nitelikte ve eğlenceli bir şekilde ders işlemelerini sağlayacak olan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online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quiz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programı ve Web 2.0 aracı olan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Kahoot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özellikle kullanılmıştır. Yine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Almanya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Erasmus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Projesi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dahilinde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Web 2.0 araçlarının kullanımı için teşvik ve takip Almanca öğretmeni Elif KAYA tarafından sağlanmıştır.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Canva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Wordart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Padlet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Aaalogo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gibi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Web 2.0 araçları kullanılmıştır. </w:t>
      </w:r>
    </w:p>
    <w:p w:rsidR="009D2228" w:rsidRDefault="009D2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9D2228" w:rsidRDefault="00904D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9) </w:t>
      </w:r>
      <w:r>
        <w:rPr>
          <w:rFonts w:ascii="Times New Roman" w:eastAsia="Times New Roman" w:hAnsi="Times New Roman" w:cs="Times New Roman"/>
          <w:color w:val="000000"/>
          <w:sz w:val="24"/>
        </w:rPr>
        <w:t>Okul ve çevre imkânları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ile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Erasmus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Proj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esi kapsamında düzenli çalışmalar öğrenciler ve öğretmenler tarafından yapılmıştır. Tüm çalışmalarımız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Padlet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sayfasında çevrimiçi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olarak yayınlanmıştır. Aynı çalışmalar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Etwinning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platformunda da devam ettirilmektedir. </w:t>
      </w:r>
      <w:hyperlink r:id="rId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https://padlet.com/elantra_a/kwvjrgg5rkgn</w:t>
        </w:r>
      </w:hyperlink>
    </w:p>
    <w:p w:rsidR="009D2228" w:rsidRDefault="009D2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</w:p>
    <w:p w:rsidR="009D2228" w:rsidRDefault="00904D3F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10) </w:t>
      </w:r>
      <w:r>
        <w:rPr>
          <w:rFonts w:ascii="Times New Roman" w:eastAsia="Times New Roman" w:hAnsi="Times New Roman" w:cs="Times New Roman"/>
          <w:sz w:val="24"/>
        </w:rPr>
        <w:t>2018-2019 çalışma takvimi ve 2551 sayılı tebliğler dergisinde belirtilen yıllık planların müfredat programlarına uygun olarak işlendiği belirtildi.</w:t>
      </w:r>
    </w:p>
    <w:p w:rsidR="009D2228" w:rsidRDefault="00904D3F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11) </w:t>
      </w:r>
      <w:r>
        <w:rPr>
          <w:rFonts w:ascii="Times New Roman" w:eastAsia="Times New Roman" w:hAnsi="Times New Roman" w:cs="Times New Roman"/>
          <w:sz w:val="24"/>
        </w:rPr>
        <w:t>Öğrenme güçlüğü çeken ve konular</w:t>
      </w:r>
      <w:r>
        <w:rPr>
          <w:rFonts w:ascii="Times New Roman" w:eastAsia="Times New Roman" w:hAnsi="Times New Roman" w:cs="Times New Roman"/>
          <w:sz w:val="24"/>
        </w:rPr>
        <w:t>ı anlamakta zorlanan öğrenciler için konuların sık sık tekrar edilmesinin daha faydalı olacağı gerektiği durumlarda bu öğrencilerle farklı çalışmalarla konuları anlamalarını sağlanması hususunda titiz davranıldığı belirtildi.</w:t>
      </w:r>
    </w:p>
    <w:p w:rsidR="009D2228" w:rsidRDefault="00904D3F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12)</w:t>
      </w:r>
      <w:r>
        <w:rPr>
          <w:rFonts w:ascii="Times New Roman" w:eastAsia="Times New Roman" w:hAnsi="Times New Roman" w:cs="Times New Roman"/>
          <w:sz w:val="24"/>
        </w:rPr>
        <w:t xml:space="preserve"> Ders araç ve gereçleri ola</w:t>
      </w:r>
      <w:r>
        <w:rPr>
          <w:rFonts w:ascii="Times New Roman" w:eastAsia="Times New Roman" w:hAnsi="Times New Roman" w:cs="Times New Roman"/>
          <w:sz w:val="24"/>
        </w:rPr>
        <w:t>rak öğrencilerin ders kitaplarının yanında imkânları dâhilinde Türkçe - Almanca Sözlük bulundurmalarının yararlı olacağı görüşü belirtildi. Okulumuzun teknolojik donanımından da faydala</w:t>
      </w:r>
      <w:r>
        <w:rPr>
          <w:rFonts w:ascii="Times New Roman" w:eastAsia="Times New Roman" w:hAnsi="Times New Roman" w:cs="Times New Roman"/>
          <w:sz w:val="24"/>
        </w:rPr>
        <w:t>nılarak bilgisayar, akıllı tahta, tablet</w:t>
      </w:r>
      <w:r>
        <w:rPr>
          <w:rFonts w:ascii="Times New Roman" w:eastAsia="Times New Roman" w:hAnsi="Times New Roman" w:cs="Times New Roman"/>
          <w:sz w:val="24"/>
        </w:rPr>
        <w:t>, kamera,  gibi araç ve gereçleri</w:t>
      </w:r>
      <w:r>
        <w:rPr>
          <w:rFonts w:ascii="Times New Roman" w:eastAsia="Times New Roman" w:hAnsi="Times New Roman" w:cs="Times New Roman"/>
          <w:sz w:val="24"/>
        </w:rPr>
        <w:t xml:space="preserve">n kullanılmasının </w:t>
      </w:r>
      <w:proofErr w:type="gramStart"/>
      <w:r>
        <w:rPr>
          <w:rFonts w:ascii="Times New Roman" w:eastAsia="Times New Roman" w:hAnsi="Times New Roman" w:cs="Times New Roman"/>
          <w:sz w:val="24"/>
        </w:rPr>
        <w:t>motivasyona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faydası olacağı ifade edildi.</w:t>
      </w:r>
    </w:p>
    <w:p w:rsidR="009D2228" w:rsidRDefault="00904D3F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13)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Öğrenci başarısının ölçülmesi ve değerlendirilmesi ile ilgili hususlar gözden geçirilerek aşağıdaki tablo oluşturulmuştur.</w:t>
      </w:r>
    </w:p>
    <w:tbl>
      <w:tblPr>
        <w:tblW w:w="0" w:type="auto"/>
        <w:tblInd w:w="6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9"/>
        <w:gridCol w:w="935"/>
        <w:gridCol w:w="1295"/>
        <w:gridCol w:w="1307"/>
        <w:gridCol w:w="1367"/>
        <w:gridCol w:w="1152"/>
        <w:gridCol w:w="1243"/>
      </w:tblGrid>
      <w:tr w:rsidR="009D2228">
        <w:tblPrEx>
          <w:tblCellMar>
            <w:top w:w="0" w:type="dxa"/>
            <w:bottom w:w="0" w:type="dxa"/>
          </w:tblCellMar>
        </w:tblPrEx>
        <w:tc>
          <w:tcPr>
            <w:tcW w:w="96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2228" w:rsidRDefault="00904D3F">
            <w:pPr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DERS ADI: ALMANCA</w:t>
            </w:r>
          </w:p>
        </w:tc>
        <w:tc>
          <w:tcPr>
            <w:tcW w:w="11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2228" w:rsidRDefault="00904D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Sınıf</w:t>
            </w:r>
          </w:p>
        </w:tc>
        <w:tc>
          <w:tcPr>
            <w:tcW w:w="14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2228" w:rsidRDefault="00904D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Sınıf Mevcudu</w:t>
            </w:r>
          </w:p>
        </w:tc>
        <w:tc>
          <w:tcPr>
            <w:tcW w:w="14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2228" w:rsidRDefault="00904D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Devamsız Öğrenci</w:t>
            </w:r>
          </w:p>
        </w:tc>
        <w:tc>
          <w:tcPr>
            <w:tcW w:w="15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2228" w:rsidRDefault="00904D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Başarılı Ö</w:t>
            </w:r>
            <w:r>
              <w:rPr>
                <w:rFonts w:ascii="Calibri" w:eastAsia="Calibri" w:hAnsi="Calibri" w:cs="Calibri"/>
              </w:rPr>
              <w:t>ğrenci Sayısı</w:t>
            </w:r>
          </w:p>
        </w:tc>
        <w:tc>
          <w:tcPr>
            <w:tcW w:w="13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2228" w:rsidRDefault="00904D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Başarı</w:t>
            </w:r>
          </w:p>
          <w:p w:rsidR="009D2228" w:rsidRDefault="00904D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%</w:t>
            </w:r>
          </w:p>
        </w:tc>
        <w:tc>
          <w:tcPr>
            <w:tcW w:w="12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2228" w:rsidRDefault="00904D3F">
            <w:pPr>
              <w:spacing w:after="2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Sınıf Ortalaması</w:t>
            </w:r>
          </w:p>
        </w:tc>
      </w:tr>
      <w:tr w:rsidR="009D2228">
        <w:tblPrEx>
          <w:tblCellMar>
            <w:top w:w="0" w:type="dxa"/>
            <w:bottom w:w="0" w:type="dxa"/>
          </w:tblCellMar>
        </w:tblPrEx>
        <w:tc>
          <w:tcPr>
            <w:tcW w:w="968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2228" w:rsidRDefault="009D222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04D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 A</w:t>
            </w:r>
          </w:p>
        </w:tc>
        <w:tc>
          <w:tcPr>
            <w:tcW w:w="141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04D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</w:t>
            </w:r>
          </w:p>
        </w:tc>
        <w:tc>
          <w:tcPr>
            <w:tcW w:w="142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04D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9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04D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134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04D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</w:t>
            </w:r>
          </w:p>
        </w:tc>
        <w:tc>
          <w:tcPr>
            <w:tcW w:w="1269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2228" w:rsidRDefault="00904D3F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68,88</w:t>
            </w:r>
          </w:p>
          <w:p w:rsidR="009D2228" w:rsidRDefault="00904D3F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70,41</w:t>
            </w:r>
          </w:p>
          <w:p w:rsidR="009D2228" w:rsidRDefault="00904D3F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61,67</w:t>
            </w:r>
          </w:p>
          <w:p w:rsidR="009D2228" w:rsidRDefault="00904D3F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65,44</w:t>
            </w:r>
          </w:p>
          <w:p w:rsidR="009D2228" w:rsidRDefault="00904D3F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68,36</w:t>
            </w:r>
          </w:p>
          <w:p w:rsidR="009D2228" w:rsidRDefault="00904D3F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65,26</w:t>
            </w:r>
          </w:p>
          <w:p w:rsidR="009D2228" w:rsidRDefault="00904D3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61,67</w:t>
            </w:r>
          </w:p>
        </w:tc>
      </w:tr>
      <w:tr w:rsidR="009D2228">
        <w:tblPrEx>
          <w:tblCellMar>
            <w:top w:w="0" w:type="dxa"/>
            <w:bottom w:w="0" w:type="dxa"/>
          </w:tblCellMar>
        </w:tblPrEx>
        <w:tc>
          <w:tcPr>
            <w:tcW w:w="968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2228" w:rsidRDefault="009D222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04D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 B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04D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04D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04D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04D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96</w:t>
            </w: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D222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9D2228">
        <w:tblPrEx>
          <w:tblCellMar>
            <w:top w:w="0" w:type="dxa"/>
            <w:bottom w:w="0" w:type="dxa"/>
          </w:tblCellMar>
        </w:tblPrEx>
        <w:tc>
          <w:tcPr>
            <w:tcW w:w="968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2228" w:rsidRDefault="009D222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04D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 C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04D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04D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04D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04D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</w:t>
            </w: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D222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9D2228">
        <w:tblPrEx>
          <w:tblCellMar>
            <w:top w:w="0" w:type="dxa"/>
            <w:bottom w:w="0" w:type="dxa"/>
          </w:tblCellMar>
        </w:tblPrEx>
        <w:tc>
          <w:tcPr>
            <w:tcW w:w="968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2228" w:rsidRDefault="009D222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04D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 D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04D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04D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04D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04D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83</w:t>
            </w: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D222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9D2228">
        <w:tblPrEx>
          <w:tblCellMar>
            <w:top w:w="0" w:type="dxa"/>
            <w:bottom w:w="0" w:type="dxa"/>
          </w:tblCellMar>
        </w:tblPrEx>
        <w:tc>
          <w:tcPr>
            <w:tcW w:w="968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2228" w:rsidRDefault="009D222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04D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 E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04D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04D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04D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04D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</w:t>
            </w: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D222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9D2228">
        <w:tblPrEx>
          <w:tblCellMar>
            <w:top w:w="0" w:type="dxa"/>
            <w:bottom w:w="0" w:type="dxa"/>
          </w:tblCellMar>
        </w:tblPrEx>
        <w:tc>
          <w:tcPr>
            <w:tcW w:w="968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2228" w:rsidRDefault="009D222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04D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 F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04D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04D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04D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04D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</w:t>
            </w: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D222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9D2228">
        <w:tblPrEx>
          <w:tblCellMar>
            <w:top w:w="0" w:type="dxa"/>
            <w:bottom w:w="0" w:type="dxa"/>
          </w:tblCellMar>
        </w:tblPrEx>
        <w:tc>
          <w:tcPr>
            <w:tcW w:w="968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2228" w:rsidRDefault="009D222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04D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 G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04D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04D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04D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04D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</w:t>
            </w: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D222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9D2228">
        <w:tblPrEx>
          <w:tblCellMar>
            <w:top w:w="0" w:type="dxa"/>
            <w:bottom w:w="0" w:type="dxa"/>
          </w:tblCellMar>
        </w:tblPrEx>
        <w:tc>
          <w:tcPr>
            <w:tcW w:w="968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2228" w:rsidRDefault="009D222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04D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A</w:t>
            </w:r>
          </w:p>
        </w:tc>
        <w:tc>
          <w:tcPr>
            <w:tcW w:w="141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04D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</w:t>
            </w:r>
          </w:p>
        </w:tc>
        <w:tc>
          <w:tcPr>
            <w:tcW w:w="142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04D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9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04D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04D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</w:t>
            </w:r>
          </w:p>
        </w:tc>
        <w:tc>
          <w:tcPr>
            <w:tcW w:w="126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2228" w:rsidRDefault="00904D3F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73,85</w:t>
            </w:r>
          </w:p>
          <w:p w:rsidR="009D2228" w:rsidRDefault="00904D3F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70,13</w:t>
            </w:r>
          </w:p>
          <w:p w:rsidR="009D2228" w:rsidRDefault="00904D3F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75,97</w:t>
            </w:r>
          </w:p>
          <w:p w:rsidR="009D2228" w:rsidRDefault="00904D3F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71,14</w:t>
            </w:r>
          </w:p>
          <w:p w:rsidR="009D2228" w:rsidRDefault="00904D3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71,13</w:t>
            </w:r>
          </w:p>
        </w:tc>
      </w:tr>
      <w:tr w:rsidR="009D2228">
        <w:tblPrEx>
          <w:tblCellMar>
            <w:top w:w="0" w:type="dxa"/>
            <w:bottom w:w="0" w:type="dxa"/>
          </w:tblCellMar>
        </w:tblPrEx>
        <w:tc>
          <w:tcPr>
            <w:tcW w:w="968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2228" w:rsidRDefault="009D222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04D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B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04D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04D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04D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04D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D222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9D2228">
        <w:tblPrEx>
          <w:tblCellMar>
            <w:top w:w="0" w:type="dxa"/>
            <w:bottom w:w="0" w:type="dxa"/>
          </w:tblCellMar>
        </w:tblPrEx>
        <w:tc>
          <w:tcPr>
            <w:tcW w:w="968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2228" w:rsidRDefault="009D222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04D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C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04D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04D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04D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04D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D222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9D2228">
        <w:tblPrEx>
          <w:tblCellMar>
            <w:top w:w="0" w:type="dxa"/>
            <w:bottom w:w="0" w:type="dxa"/>
          </w:tblCellMar>
        </w:tblPrEx>
        <w:tc>
          <w:tcPr>
            <w:tcW w:w="968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2228" w:rsidRDefault="009D222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04D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D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04D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04D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04D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04D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97</w:t>
            </w: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D222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9D2228">
        <w:tblPrEx>
          <w:tblCellMar>
            <w:top w:w="0" w:type="dxa"/>
            <w:bottom w:w="0" w:type="dxa"/>
          </w:tblCellMar>
        </w:tblPrEx>
        <w:tc>
          <w:tcPr>
            <w:tcW w:w="968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2228" w:rsidRDefault="009D222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04D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E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04D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04D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04D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04D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D222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9D2228">
        <w:tblPrEx>
          <w:tblCellMar>
            <w:top w:w="0" w:type="dxa"/>
            <w:bottom w:w="0" w:type="dxa"/>
          </w:tblCellMar>
        </w:tblPrEx>
        <w:tc>
          <w:tcPr>
            <w:tcW w:w="968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2228" w:rsidRDefault="009D222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04D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 A</w:t>
            </w:r>
          </w:p>
        </w:tc>
        <w:tc>
          <w:tcPr>
            <w:tcW w:w="141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04D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</w:t>
            </w:r>
          </w:p>
        </w:tc>
        <w:tc>
          <w:tcPr>
            <w:tcW w:w="142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04D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9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04D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</w:t>
            </w:r>
          </w:p>
        </w:tc>
        <w:tc>
          <w:tcPr>
            <w:tcW w:w="134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04D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1269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2228" w:rsidRDefault="00904D3F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77,76</w:t>
            </w:r>
          </w:p>
          <w:p w:rsidR="009D2228" w:rsidRDefault="00904D3F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72,58</w:t>
            </w:r>
          </w:p>
          <w:p w:rsidR="009D2228" w:rsidRDefault="00904D3F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69,18</w:t>
            </w:r>
          </w:p>
          <w:p w:rsidR="009D2228" w:rsidRDefault="00904D3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73,81</w:t>
            </w:r>
          </w:p>
        </w:tc>
      </w:tr>
      <w:tr w:rsidR="009D2228">
        <w:tblPrEx>
          <w:tblCellMar>
            <w:top w:w="0" w:type="dxa"/>
            <w:bottom w:w="0" w:type="dxa"/>
          </w:tblCellMar>
        </w:tblPrEx>
        <w:tc>
          <w:tcPr>
            <w:tcW w:w="968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2228" w:rsidRDefault="009D222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04D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 B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04D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04D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04D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04D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96</w:t>
            </w: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D222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9D2228">
        <w:tblPrEx>
          <w:tblCellMar>
            <w:top w:w="0" w:type="dxa"/>
            <w:bottom w:w="0" w:type="dxa"/>
          </w:tblCellMar>
        </w:tblPrEx>
        <w:tc>
          <w:tcPr>
            <w:tcW w:w="968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2228" w:rsidRDefault="009D222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04D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 C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04D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04D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04D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04D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96</w:t>
            </w: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D222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9D2228">
        <w:tblPrEx>
          <w:tblCellMar>
            <w:top w:w="0" w:type="dxa"/>
            <w:bottom w:w="0" w:type="dxa"/>
          </w:tblCellMar>
        </w:tblPrEx>
        <w:tc>
          <w:tcPr>
            <w:tcW w:w="968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2228" w:rsidRDefault="009D222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04D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 D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04D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04D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04D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04D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D222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9D2228">
        <w:tblPrEx>
          <w:tblCellMar>
            <w:top w:w="0" w:type="dxa"/>
            <w:bottom w:w="0" w:type="dxa"/>
          </w:tblCellMar>
        </w:tblPrEx>
        <w:tc>
          <w:tcPr>
            <w:tcW w:w="968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2228" w:rsidRDefault="009D222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04D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A</w:t>
            </w:r>
          </w:p>
        </w:tc>
        <w:tc>
          <w:tcPr>
            <w:tcW w:w="141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04D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</w:t>
            </w:r>
          </w:p>
        </w:tc>
        <w:tc>
          <w:tcPr>
            <w:tcW w:w="142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04D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9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04D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</w:t>
            </w:r>
          </w:p>
        </w:tc>
        <w:tc>
          <w:tcPr>
            <w:tcW w:w="134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04D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1269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2228" w:rsidRDefault="00904D3F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94,69</w:t>
            </w:r>
          </w:p>
          <w:p w:rsidR="009D2228" w:rsidRDefault="00904D3F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92,38</w:t>
            </w:r>
          </w:p>
          <w:p w:rsidR="009D2228" w:rsidRDefault="00904D3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95,35</w:t>
            </w:r>
          </w:p>
        </w:tc>
      </w:tr>
      <w:tr w:rsidR="009D2228">
        <w:tblPrEx>
          <w:tblCellMar>
            <w:top w:w="0" w:type="dxa"/>
            <w:bottom w:w="0" w:type="dxa"/>
          </w:tblCellMar>
        </w:tblPrEx>
        <w:tc>
          <w:tcPr>
            <w:tcW w:w="968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D222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04D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B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04D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04D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04D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04D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D222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9D2228">
        <w:tblPrEx>
          <w:tblCellMar>
            <w:top w:w="0" w:type="dxa"/>
            <w:bottom w:w="0" w:type="dxa"/>
          </w:tblCellMar>
        </w:tblPrEx>
        <w:tc>
          <w:tcPr>
            <w:tcW w:w="968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D222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04D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C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04D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04D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04D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04D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228" w:rsidRDefault="009D222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9D2228" w:rsidRDefault="009D2228">
      <w:pPr>
        <w:rPr>
          <w:rFonts w:ascii="Calibri" w:eastAsia="Calibri" w:hAnsi="Calibri" w:cs="Calibri"/>
        </w:rPr>
      </w:pPr>
    </w:p>
    <w:p w:rsidR="009D2228" w:rsidRDefault="00904D3F">
      <w:pP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Başarının daha da artırılması için bir takım hususlara değinilmesi gerekmektedir; y</w:t>
      </w:r>
      <w:r>
        <w:rPr>
          <w:rFonts w:ascii="Times New Roman" w:eastAsia="Times New Roman" w:hAnsi="Times New Roman" w:cs="Times New Roman"/>
        </w:rPr>
        <w:t>apılan analizlerde ortaya çıkan eksik konuların tekrarının öğrenciler üzerinde olumlu etkileri olduğu görülmüştür.</w:t>
      </w:r>
    </w:p>
    <w:p w:rsidR="009D2228" w:rsidRDefault="00904D3F">
      <w:pPr>
        <w:spacing w:after="22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14)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Öğrenciler, ulusal ve uluslararası düzeyde s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ınav ve yarışmalarda henüz yer almamışlardır.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Ancak halen devam etmekte olan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Etwinning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projesinin kalite ödülü başvurusu öğrenciler ve okul adına Proje Koordinatörü, Almanca Öğretmeni Elif KAYA tarafından başvurulmuştur, sonuçlar 2019 Eylül ayında açıklanac</w:t>
      </w:r>
      <w:r>
        <w:rPr>
          <w:rFonts w:ascii="Times New Roman" w:eastAsia="Times New Roman" w:hAnsi="Times New Roman" w:cs="Times New Roman"/>
          <w:color w:val="000000"/>
          <w:sz w:val="24"/>
        </w:rPr>
        <w:t>aktır.</w:t>
      </w:r>
    </w:p>
    <w:p w:rsidR="009D2228" w:rsidRDefault="009D2228">
      <w:pPr>
        <w:spacing w:after="0" w:line="240" w:lineRule="auto"/>
        <w:ind w:right="621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D2228" w:rsidRDefault="00904D3F">
      <w:pPr>
        <w:spacing w:after="22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15)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Öğrencilere verilen proje ve performans konularının öğretim programlarıyla okul ve çevre şartlarına göre değerlendirilmesi hususunda herhangi bir sorun yaşanmamıştır. Performans ödevleri öğrencilerin çok yönlü dil gelişimini destekleyici doğrul</w:t>
      </w:r>
      <w:r>
        <w:rPr>
          <w:rFonts w:ascii="Times New Roman" w:eastAsia="Times New Roman" w:hAnsi="Times New Roman" w:cs="Times New Roman"/>
          <w:color w:val="000000"/>
          <w:sz w:val="24"/>
        </w:rPr>
        <w:t>tuda verilmiş, sonucunda ortaya dijital ve somut anlamda güzel ürünler çıkmıştır.</w:t>
      </w:r>
    </w:p>
    <w:p w:rsidR="009D2228" w:rsidRDefault="009D2228">
      <w:pPr>
        <w:spacing w:after="0" w:line="240" w:lineRule="auto"/>
        <w:ind w:right="621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D2228" w:rsidRDefault="00904D3F">
      <w:pPr>
        <w:spacing w:after="22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16)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2023 Vizyonunun değerlendirilmesi hususunda yabancı dil öğretmenlerine “Yaşam Boyu Öğrenme” felsefesi doğrultusunda çevrim içi ve yüz yüze eğitimler verilecek, ana dili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İngilizce olan öğretmenlerle çalışmaları sağlanacaktır, ayrıca uluslararası kuruluşlar, yükseköğretim kurumları, STK’ler desteğiyle yabancı dil öğretmenlerinin tümü için üç yıllık bir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projeksiyonda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yüksek lisans, uluslararası sertifikalandırma, temalı sert</w:t>
      </w:r>
      <w:r>
        <w:rPr>
          <w:rFonts w:ascii="Times New Roman" w:eastAsia="Times New Roman" w:hAnsi="Times New Roman" w:cs="Times New Roman"/>
          <w:color w:val="000000"/>
          <w:sz w:val="24"/>
        </w:rPr>
        <w:t>ifikalar ve benzeri eğitim çalışmaları çevrim içi, çevrim dışı ve yüz yüze gerçekleştirilecektir; yabancı dil eğitimi, öğrenci merkezli bir yaklaşımla, öğrencilerin bilişsel düzeylerine uygun metodolojiler kullanılarak ele alınacaktır görüşleri olumlu ve y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erinde bulunmuştur. </w:t>
      </w:r>
    </w:p>
    <w:p w:rsidR="009D2228" w:rsidRDefault="009D2228">
      <w:pPr>
        <w:spacing w:after="22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D2228" w:rsidRDefault="00904D3F">
      <w:pPr>
        <w:spacing w:after="22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17)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BENGİ, Her Sınıf Kütüphane, Ayın Değeri ve Değer Defteri projeleri ile ilgili şu çalışmalar yapılmıştır:</w:t>
      </w:r>
    </w:p>
    <w:p w:rsidR="009D2228" w:rsidRDefault="00904D3F">
      <w:pPr>
        <w:spacing w:after="22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BENGİ projesi kapsamında haftada bir gün bir dersin ilk yirmi dakikasında kitap okuma etkinliği gerçekleştirilmiştir ve bu pr</w:t>
      </w:r>
      <w:r>
        <w:rPr>
          <w:rFonts w:ascii="Times New Roman" w:eastAsia="Times New Roman" w:hAnsi="Times New Roman" w:cs="Times New Roman"/>
          <w:color w:val="000000"/>
          <w:sz w:val="24"/>
        </w:rPr>
        <w:t>ojenin devam etmesi konusunda hemfikir olunmuştur.</w:t>
      </w:r>
    </w:p>
    <w:p w:rsidR="009D2228" w:rsidRDefault="009D2228">
      <w:pPr>
        <w:spacing w:after="22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9D2228" w:rsidRDefault="00904D3F">
      <w:pPr>
        <w:spacing w:after="22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18)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1.dönem ve 2. dönem okulumuzda 10. Sınıf Almanca derslerinden DYK açılmıştır. 10. sınıflar bu kurslara devamlılık sağlamıştır. Kurslara devam eden öğrencilerde akademik başarının yükseldiği görülmüştü</w:t>
      </w:r>
      <w:r>
        <w:rPr>
          <w:rFonts w:ascii="Times New Roman" w:eastAsia="Times New Roman" w:hAnsi="Times New Roman" w:cs="Times New Roman"/>
          <w:color w:val="000000"/>
          <w:sz w:val="24"/>
        </w:rPr>
        <w:t>r. Gelecek yıl da bu kursların devam etmesi temenni edilmektedir.</w:t>
      </w:r>
    </w:p>
    <w:p w:rsidR="009D2228" w:rsidRDefault="009D2228">
      <w:pPr>
        <w:spacing w:after="22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9D2228" w:rsidRDefault="00904D3F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19)</w:t>
      </w:r>
      <w:r>
        <w:rPr>
          <w:rFonts w:ascii="Times New Roman" w:eastAsia="Times New Roman" w:hAnsi="Times New Roman" w:cs="Times New Roman"/>
          <w:sz w:val="24"/>
        </w:rPr>
        <w:t xml:space="preserve"> İş sağlığı ve güvenliği hususunda gerekli tedbirler alınmıştır ve okulda çeşitli yerlere uyarı levhaları asılmıştır.</w:t>
      </w:r>
    </w:p>
    <w:p w:rsidR="009D2228" w:rsidRDefault="00904D3F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20) </w:t>
      </w:r>
      <w:r>
        <w:rPr>
          <w:rFonts w:ascii="Times New Roman" w:eastAsia="Times New Roman" w:hAnsi="Times New Roman" w:cs="Times New Roman"/>
          <w:sz w:val="24"/>
        </w:rPr>
        <w:t xml:space="preserve">Zümre Başkanı Elif KAYA " Kararların uygulanmasında birliktelik </w:t>
      </w:r>
      <w:r>
        <w:rPr>
          <w:rFonts w:ascii="Times New Roman" w:eastAsia="Times New Roman" w:hAnsi="Times New Roman" w:cs="Times New Roman"/>
          <w:sz w:val="24"/>
        </w:rPr>
        <w:t>esastır. Okul idaresi ve diğer zümre öğretmenleri ile her zaman işbirliği içinde olunması gerekmektedir</w:t>
      </w:r>
      <w:proofErr w:type="gramStart"/>
      <w:r>
        <w:rPr>
          <w:rFonts w:ascii="Times New Roman" w:eastAsia="Times New Roman" w:hAnsi="Times New Roman" w:cs="Times New Roman"/>
          <w:sz w:val="24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Ortak sınavların büyük bir titizlikle yapılmasına çalışılmalıdır. </w:t>
      </w:r>
      <w:r>
        <w:rPr>
          <w:rFonts w:ascii="Times New Roman" w:eastAsia="Times New Roman" w:hAnsi="Times New Roman" w:cs="Times New Roman"/>
          <w:sz w:val="24"/>
        </w:rPr>
        <w:t>Gelecek yıl da gereken önem ve titizlik gösterilecektir. ’diyerek</w:t>
      </w:r>
      <w:r>
        <w:rPr>
          <w:rFonts w:ascii="Times New Roman" w:eastAsia="Times New Roman" w:hAnsi="Times New Roman" w:cs="Times New Roman"/>
          <w:sz w:val="24"/>
        </w:rPr>
        <w:t xml:space="preserve"> alınan kararları öz</w:t>
      </w:r>
      <w:r>
        <w:rPr>
          <w:rFonts w:ascii="Times New Roman" w:eastAsia="Times New Roman" w:hAnsi="Times New Roman" w:cs="Times New Roman"/>
          <w:sz w:val="24"/>
        </w:rPr>
        <w:t>etledi.</w:t>
      </w:r>
    </w:p>
    <w:p w:rsidR="009D2228" w:rsidRDefault="00904D3F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21) </w:t>
      </w:r>
      <w:r>
        <w:rPr>
          <w:rFonts w:ascii="Times New Roman" w:eastAsia="Times New Roman" w:hAnsi="Times New Roman" w:cs="Times New Roman"/>
          <w:sz w:val="24"/>
        </w:rPr>
        <w:t>Başka söz alan olmadığından yeni eğitim ve öğretim yılının başarılı, mutlu ve huzurlu geçmesi dileğiyle toplantı sona erdi.</w:t>
      </w:r>
    </w:p>
    <w:p w:rsidR="009D2228" w:rsidRDefault="009D2228">
      <w:pPr>
        <w:spacing w:line="276" w:lineRule="auto"/>
        <w:rPr>
          <w:rFonts w:ascii="Calibri" w:eastAsia="Calibri" w:hAnsi="Calibri" w:cs="Calibri"/>
        </w:rPr>
      </w:pPr>
    </w:p>
    <w:p w:rsidR="009D2228" w:rsidRDefault="00904D3F" w:rsidP="00904D3F">
      <w:pPr>
        <w:spacing w:after="0"/>
        <w:ind w:right="-39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Elif KAYA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İsmail  ÇİLLİ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2228" w:rsidRDefault="00904D3F" w:rsidP="00904D3F">
      <w:pPr>
        <w:spacing w:after="0"/>
        <w:ind w:right="-39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ZÜMRE BAŞKANI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M</w:t>
      </w:r>
      <w:r>
        <w:rPr>
          <w:rFonts w:ascii="Times New Roman" w:eastAsia="Times New Roman" w:hAnsi="Times New Roman" w:cs="Times New Roman"/>
          <w:sz w:val="24"/>
        </w:rPr>
        <w:t xml:space="preserve">ÜDÜR YARDIMCISI </w:t>
      </w:r>
    </w:p>
    <w:p w:rsidR="00904D3F" w:rsidRDefault="00904D3F" w:rsidP="00904D3F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904D3F" w:rsidRDefault="00904D3F" w:rsidP="00904D3F">
      <w:pPr>
        <w:jc w:val="center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904D3F" w:rsidRDefault="00904D3F" w:rsidP="00904D3F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9D2228" w:rsidRDefault="00904D3F" w:rsidP="00904D3F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19 / 06 / 2019</w:t>
      </w:r>
    </w:p>
    <w:p w:rsidR="009D2228" w:rsidRDefault="00904D3F" w:rsidP="00904D3F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UYGUNDUR</w:t>
      </w:r>
    </w:p>
    <w:p w:rsidR="009D2228" w:rsidRDefault="00904D3F" w:rsidP="00904D3F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Süleyman GİRGİN</w:t>
      </w:r>
    </w:p>
    <w:p w:rsidR="009D2228" w:rsidRPr="00904D3F" w:rsidRDefault="00904D3F" w:rsidP="00904D3F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OKUL MÜDÜRÜ</w:t>
      </w:r>
    </w:p>
    <w:sectPr w:rsidR="009D2228" w:rsidRPr="00904D3F" w:rsidSect="00904D3F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D2228"/>
    <w:rsid w:val="00904D3F"/>
    <w:rsid w:val="009D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9E91B"/>
  <w15:docId w15:val="{6A796187-1ACD-4A63-BF01-17AA5D05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dlet.com/elantra_a/kwvjrgg5rkgn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1528</Words>
  <Characters>8712</Characters>
  <Application>Microsoft Office Word</Application>
  <DocSecurity>0</DocSecurity>
  <Lines>72</Lines>
  <Paragraphs>20</Paragraphs>
  <ScaleCrop>false</ScaleCrop>
  <Company/>
  <LinksUpToDate>false</LinksUpToDate>
  <CharactersWithSpaces>10220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safi erbas</cp:lastModifiedBy>
  <cp:revision>2</cp:revision>
  <dcterms:created xsi:type="dcterms:W3CDTF">2019-06-19T22:13:00Z</dcterms:created>
  <dcterms:modified xsi:type="dcterms:W3CDTF">2019-06-19T22:21:00Z</dcterms:modified>
</cp:coreProperties>
</file>