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61" w:rsidRPr="00625B61" w:rsidRDefault="00625B61" w:rsidP="00625B61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Swiss721PL-BlackCondensed" w:hAnsi="Baskerville Old Face" w:cs="Swiss721PL-BlackCondensed"/>
          <w:b/>
          <w:color w:val="31849B" w:themeColor="accent5" w:themeShade="BF"/>
          <w:sz w:val="44"/>
          <w:szCs w:val="44"/>
          <w:lang w:val="de-DE"/>
        </w:rPr>
      </w:pPr>
      <w:r w:rsidRPr="00625B61">
        <w:rPr>
          <w:rFonts w:ascii="Baskerville Old Face" w:eastAsia="Swiss721PL-BlackCondensed" w:hAnsi="Baskerville Old Face" w:cs="Swiss721PL-BlackCondensed"/>
          <w:b/>
          <w:color w:val="31849B" w:themeColor="accent5" w:themeShade="BF"/>
          <w:sz w:val="44"/>
          <w:szCs w:val="44"/>
          <w:lang w:val="de-DE"/>
        </w:rPr>
        <w:t>Was verstehst du unter dem Begriff Freundschaft?</w:t>
      </w:r>
    </w:p>
    <w:p w:rsidR="00625B61" w:rsidRDefault="00625B61" w:rsidP="00625B61">
      <w:pPr>
        <w:autoSpaceDE w:val="0"/>
        <w:autoSpaceDN w:val="0"/>
        <w:adjustRightInd w:val="0"/>
        <w:spacing w:after="0" w:line="240" w:lineRule="auto"/>
        <w:rPr>
          <w:rFonts w:ascii="Swiss721PL-BlackCondensed" w:eastAsia="Swiss721PL-BlackCondensed" w:cs="Swiss721PL-BlackCondensed"/>
          <w:color w:val="231F20"/>
          <w:lang w:val="de-DE"/>
        </w:rPr>
      </w:pP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Swiss721PL-BlackCondensed" w:eastAsia="Swiss721PL-BlackCondensed" w:cs="Swiss721PL-BlackCondensed"/>
          <w:color w:val="231F20"/>
          <w:lang w:val="de-DE"/>
        </w:rPr>
      </w:pPr>
      <w:r w:rsidRPr="00625B61">
        <w:rPr>
          <w:rFonts w:eastAsia="Swiss721PL-BlackCondensed" w:cs="Swiss721PL-BlackCondensed"/>
          <w:color w:val="231F20"/>
          <w:lang w:val="de-DE"/>
        </w:rPr>
        <w:t>_____________________________________________________________________________________</w:t>
      </w:r>
    </w:p>
    <w:p w:rsidR="00625B61" w:rsidRDefault="00625B61" w:rsidP="00625B61">
      <w:pPr>
        <w:autoSpaceDE w:val="0"/>
        <w:autoSpaceDN w:val="0"/>
        <w:adjustRightInd w:val="0"/>
        <w:spacing w:after="0" w:line="240" w:lineRule="auto"/>
        <w:rPr>
          <w:rFonts w:ascii="Swiss721PL-BlackCondensed" w:eastAsia="Swiss721PL-BlackCondensed" w:cs="Swiss721PL-BlackCondensed"/>
          <w:color w:val="231F20"/>
          <w:lang w:val="de-DE"/>
        </w:rPr>
      </w:pPr>
    </w:p>
    <w:p w:rsidR="00625B61" w:rsidRPr="00625B61" w:rsidRDefault="00625B61" w:rsidP="00625B61">
      <w:pPr>
        <w:autoSpaceDE w:val="0"/>
        <w:autoSpaceDN w:val="0"/>
        <w:adjustRightInd w:val="0"/>
        <w:spacing w:after="0" w:line="240" w:lineRule="auto"/>
        <w:rPr>
          <w:rFonts w:ascii="Baskerville Old Face" w:eastAsia="Swiss721PL-BlackCondensed" w:hAnsi="Baskerville Old Face" w:cs="Swiss721PL-BlackCondensed"/>
          <w:b/>
          <w:color w:val="231F20"/>
          <w:sz w:val="28"/>
          <w:szCs w:val="28"/>
          <w:lang w:val="de-DE"/>
        </w:rPr>
      </w:pPr>
      <w:r w:rsidRPr="00625B61">
        <w:rPr>
          <w:rFonts w:ascii="Baskerville Old Face" w:eastAsia="Swiss721PL-BlackCondensed" w:hAnsi="Baskerville Old Face" w:cs="Swiss721PL-BlackCondensed"/>
          <w:b/>
          <w:color w:val="231F20"/>
          <w:sz w:val="28"/>
          <w:szCs w:val="28"/>
          <w:lang w:val="de-DE"/>
        </w:rPr>
        <w:t>Wörter und Wendungen:</w:t>
      </w:r>
    </w:p>
    <w:p w:rsid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</w:pPr>
    </w:p>
    <w:p w:rsidR="00625B61" w:rsidRP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JabcedPL-Regular" w:eastAsia="JabcedPL-Regular" w:cs="JabcedPL-Regular"/>
          <w:color w:val="231F20"/>
          <w:sz w:val="24"/>
          <w:szCs w:val="24"/>
          <w:lang w:val="de-DE"/>
        </w:rPr>
      </w:pP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sorgen für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ab/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ab/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ab/>
      </w: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die Stellung, -en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 xml:space="preserve"> </w:t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die Tätigkeit, -en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 xml:space="preserve"> </w:t>
      </w:r>
    </w:p>
    <w:p w:rsidR="00625B61" w:rsidRP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JabcedPL-Regular" w:eastAsia="JabcedPL-Regular" w:cs="JabcedPL-Regular"/>
          <w:color w:val="231F20"/>
          <w:sz w:val="24"/>
          <w:szCs w:val="24"/>
          <w:lang w:val="de-DE"/>
        </w:rPr>
      </w:pP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geduldig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zuverlässig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 xml:space="preserve"> </w:t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das Vertrauen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</w:p>
    <w:p w:rsidR="00625B61" w:rsidRP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JabcedPL-Regular" w:eastAsia="JabcedPL-Regular" w:cs="JabcedPL-Regular"/>
          <w:color w:val="231F20"/>
          <w:sz w:val="24"/>
          <w:szCs w:val="24"/>
          <w:lang w:val="de-DE"/>
        </w:rPr>
      </w:pP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die Beziehung, -en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 xml:space="preserve"> </w:t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gesellschaftlich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 xml:space="preserve"> </w:t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die Zeitknappheit, -en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 xml:space="preserve"> </w:t>
      </w:r>
    </w:p>
    <w:p w:rsidR="00625B61" w:rsidRP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JabcedPL-Regular" w:eastAsia="JabcedPL-Regular" w:cs="JabcedPL-Regular"/>
          <w:color w:val="231F20"/>
          <w:sz w:val="24"/>
          <w:szCs w:val="24"/>
          <w:lang w:val="de-DE"/>
        </w:rPr>
      </w:pP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anrufen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 xml:space="preserve"> </w:t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schief gehen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 xml:space="preserve"> </w:t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ängstlich 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>-</w:t>
      </w:r>
    </w:p>
    <w:p w:rsidR="009252FF" w:rsidRPr="00625B61" w:rsidRDefault="00625B61" w:rsidP="00625B61">
      <w:pPr>
        <w:autoSpaceDE w:val="0"/>
        <w:autoSpaceDN w:val="0"/>
        <w:adjustRightInd w:val="0"/>
        <w:spacing w:after="0" w:line="360" w:lineRule="auto"/>
        <w:rPr>
          <w:rFonts w:ascii="JabcedPL-Regular" w:eastAsia="JabcedPL-Regular" w:cs="JabcedPL-Regular"/>
          <w:color w:val="231F20"/>
          <w:sz w:val="24"/>
          <w:szCs w:val="24"/>
          <w:lang w:val="de-DE"/>
        </w:rPr>
      </w:pP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 xml:space="preserve">die Erfahrung, -en 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Regular" w:eastAsia="JabcedPL-Regular" w:cs="JabcedPL-Regular"/>
          <w:color w:val="231F20"/>
          <w:sz w:val="24"/>
          <w:szCs w:val="24"/>
          <w:lang w:val="de-DE"/>
        </w:rPr>
        <w:tab/>
      </w:r>
      <w:r w:rsidRPr="00625B61">
        <w:rPr>
          <w:rFonts w:ascii="JabcedPL-BoldItalic" w:eastAsia="Swiss721PL-BlackCondensed" w:hAnsi="JabcedPL-BoldItalic" w:cs="JabcedPL-BoldItalic"/>
          <w:b/>
          <w:bCs/>
          <w:i/>
          <w:iCs/>
          <w:color w:val="231F20"/>
          <w:sz w:val="24"/>
          <w:szCs w:val="24"/>
          <w:lang w:val="de-DE"/>
        </w:rPr>
        <w:t>von der Wiege bis zum Grabe</w:t>
      </w:r>
      <w:r w:rsidRPr="00625B61">
        <w:rPr>
          <w:rFonts w:ascii="JabcedPL-Italic" w:eastAsia="JabcedPL-Italic" w:cs="JabcedPL-Italic" w:hint="eastAsia"/>
          <w:i/>
          <w:iCs/>
          <w:color w:val="231F20"/>
          <w:sz w:val="24"/>
          <w:szCs w:val="24"/>
          <w:lang w:val="de-DE"/>
        </w:rPr>
        <w:t>–</w:t>
      </w:r>
      <w:r w:rsidRPr="00625B61">
        <w:rPr>
          <w:rFonts w:ascii="JabcedPL-Italic" w:eastAsia="JabcedPL-Italic" w:cs="JabcedPL-Italic"/>
          <w:i/>
          <w:iCs/>
          <w:color w:val="231F20"/>
          <w:sz w:val="24"/>
          <w:szCs w:val="24"/>
          <w:lang w:val="de-DE"/>
        </w:rPr>
        <w:t xml:space="preserve"> </w:t>
      </w:r>
    </w:p>
    <w:sectPr w:rsidR="009252FF" w:rsidRPr="00625B61" w:rsidSect="007678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wiss721PL-Black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JabcedPL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abcedPL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JabcedPL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3A16"/>
    <w:multiLevelType w:val="hybridMultilevel"/>
    <w:tmpl w:val="7A58D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2FF"/>
    <w:rsid w:val="000B2197"/>
    <w:rsid w:val="00541F39"/>
    <w:rsid w:val="00625B61"/>
    <w:rsid w:val="009252FF"/>
    <w:rsid w:val="00D6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5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2013-05-20T20:36:00Z</dcterms:created>
  <dcterms:modified xsi:type="dcterms:W3CDTF">2013-05-20T20:36:00Z</dcterms:modified>
</cp:coreProperties>
</file>